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AE6" w:rsidRDefault="00F15AE6" w:rsidP="00F15AE6">
      <w:pPr>
        <w:pStyle w:val="Normlnweb"/>
        <w:widowControl w:val="0"/>
        <w:adjustRightInd w:val="0"/>
        <w:spacing w:before="0" w:beforeAutospacing="0" w:after="0" w:afterAutospacing="0"/>
      </w:pPr>
      <w:r>
        <w:rPr>
          <w:rFonts w:ascii="Courier" w:hAnsi="Courier" w:cs="Courier"/>
          <w:color w:val="000000"/>
          <w:sz w:val="16"/>
          <w:szCs w:val="16"/>
        </w:rPr>
        <w:t xml:space="preserve">Systém ASPI - stav k 10.10.2010 do částky 105/2010 Sb. a 41/2010 </w:t>
      </w:r>
      <w:proofErr w:type="spellStart"/>
      <w:r>
        <w:rPr>
          <w:rFonts w:ascii="Courier" w:hAnsi="Courier" w:cs="Courier"/>
          <w:color w:val="000000"/>
          <w:sz w:val="16"/>
          <w:szCs w:val="16"/>
        </w:rPr>
        <w:t>Sb.m.s</w:t>
      </w:r>
      <w:proofErr w:type="spellEnd"/>
      <w:r>
        <w:rPr>
          <w:rFonts w:ascii="Courier" w:hAnsi="Courier" w:cs="Courier"/>
          <w:color w:val="000000"/>
          <w:sz w:val="16"/>
          <w:szCs w:val="16"/>
        </w:rPr>
        <w:t>.</w:t>
      </w:r>
    </w:p>
    <w:p w:rsidR="00F15AE6" w:rsidRDefault="00F15AE6" w:rsidP="00F15AE6">
      <w:pPr>
        <w:pStyle w:val="Normlnweb"/>
        <w:widowControl w:val="0"/>
        <w:adjustRightInd w:val="0"/>
        <w:spacing w:before="0" w:beforeAutospacing="0" w:after="0" w:afterAutospacing="0"/>
      </w:pPr>
      <w:r>
        <w:rPr>
          <w:rFonts w:ascii="Courier" w:hAnsi="Courier" w:cs="Courier"/>
          <w:color w:val="000000"/>
          <w:sz w:val="16"/>
          <w:szCs w:val="16"/>
        </w:rPr>
        <w:t xml:space="preserve">Obsah a text 4/2010 (KS) - poslední stav textu </w:t>
      </w:r>
    </w:p>
    <w:p w:rsidR="00F15AE6" w:rsidRDefault="00F15AE6" w:rsidP="00F15AE6">
      <w:pPr>
        <w:pStyle w:val="Normlnweb"/>
        <w:widowControl w:val="0"/>
        <w:adjustRightInd w:val="0"/>
        <w:spacing w:before="0" w:beforeAutospacing="0" w:after="0" w:afterAutospacing="0"/>
      </w:pPr>
      <w:r>
        <w:rPr>
          <w:rFonts w:ascii="Courier" w:hAnsi="Courier" w:cs="Courier"/>
          <w:color w:val="000000"/>
          <w:sz w:val="16"/>
          <w:szCs w:val="16"/>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21"/>
          <w:szCs w:val="21"/>
        </w:rPr>
        <w:t>4/2010</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21"/>
          <w:szCs w:val="21"/>
        </w:rPr>
        <w:t>NAŘÍZENÍ</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21"/>
          <w:szCs w:val="21"/>
        </w:rPr>
        <w:t>Středočeského kraje</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21"/>
          <w:szCs w:val="21"/>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6"/>
          <w:szCs w:val="16"/>
        </w:rPr>
        <w:t>ze dne 4. ledna 2010,</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6"/>
          <w:szCs w:val="16"/>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kterým se stanoví podmínky k zabezpečení požární ochrany v době zvýšeného nebezpečí vzniku požárů</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Rada Středočeského kraje podle § 7 a § 59 odst. 1 písm. k) zákona č. 129/2000 Sb., o krajích (krajské zřízení), ve znění pozdějších předpisů, a k provedení § 27 odst. 2 písm. b) bodu 3 zákona č. 133/1985 Sb., o požární ochraně, ve znění pozdějších předpisů, (dále jen „zákon o požární ochraně“) vydává toto nařízení: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1</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Úvodní ustanovení</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Účelem tohoto nařízení je stanovit povinnosti fyzických osob, právnických osob a fyzických osob podnikajících podle zvláštních předpisů (dále jen „podnikající fyzické osoby“) k zabezpečení požární ochrany v době zvýšeného nebezpečí vzniku požárů.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Dobou zvýšeného nebezpečí vzniku požárů se pro účely tohoto nařízení rozumí: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období nepříznivých klimatických podmínek,</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období sklizně zemědělské úrody (pícnin, obilovin, slámy a úsušků, chmele, kukuřice apod.), jejich posklizňové úpravy a skladování,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období provádění požárně nebezpečných činností v lesích spojených s činnostmi, které jsou prováděny při hospodaření v lese1) a využívání přírodního prostředí k rekreačním účelům v období sucha,</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vznik mimořádných událostí,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e) topné období.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2</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Období nepříznivých klimatických podmínek</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Za období nepříznivých klimatických podmínek se pro účely tohoto nařízení považuje období déletrvajícího sucha2), v důsledku něhož vzniká v přírodním prostředí zvýšené nebezpečí vzniku požárů.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Období déletrvajícího sucha vyhlašuje a odvolává hejtman Středočeského kraje pro území Středočeského kraje na úřední desce Krajského úřadu Středočeského kraje. V tomto období vstupují v platnost následující opatření, omezení a povinnosti:</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zákaz kouření, rozdělávání a používání otevřeného ohně v prostorách a na místech, kde může dojít k jeho rozšíření,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zákaz spalování hořlavých látek (suchá tráva, plevel, větve apod.) na volném prostranství, a to zejména v blízkosti porostů, polí s obilovinami a pícninami,</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zákaz jízd parních lokomotiv bez přijatých protipožárních opatření,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zákaz vjezdu motorových vozidel do lesů a na polní cesty; zákaz neplatí pro vlastníky a uživatele lesních a zemědělských pozemků při jejich obhospodařování. Neplatí rovněž pro fyzické a právnické osoby provádějící pro vlastníky a nájemce lesů práce zajišťující hospodaření v lese,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e) zákaz táboření mimo vyhrazené prostory,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f) zákaz povolování výjimek vlastníky lesů z ustanovení lesního zákona3),</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lastRenderedPageBreak/>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g) zákaz pálení klestu a kůry v lesích (viz čl. 4 tohoto nařízení),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h) povinnost zajistit průjezdnost příjezdových cest do lesních porostů,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i) povinnost vlastníků nebo uživatelů zdrojů vody pro hašení prověřit jejich stav a nedostatky, které nejdou bezprostředně odstranit, nahlásit a zajistit jejich následné odstranění,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j) zajištění maximální hospodárnosti při používání vodních zdrojů určených pro hašení požárů (každý je povinen strpět v tomto směru potřebná omezení).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(3) V období déletrvajícího sucha může orgán státní správy lesů4) vydat rozhodnutí o dočasném omezení nebo vyloučení vstupu do lesa. Toto rozhodnutí vydává na základě návrhu vlastníka lesa, z vlastního podnětu nebo na návrh ředitele Hasičského záchranného sboru Středočeského kraje.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(4) Období déletrvajícího sucha vyhlašují rovněž v případě potřeby obce svým nařízením pro území dané obce. Obce zajistí zapracování příslušných ustanovení tohoto nařízení do jimi vydávaných právních předpisů.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(5) Obce zabezpečí v tomto období zpravidla prostřednictvím členů jednotky sboru dobrovolných hasičů obce, případně dalších občanů, provádění pravidelného denního monitorování dodržování omezení, opatření a povinností uvedených v čl. 2 odst. 2 tohoto nařízení.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3</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Období sklizně zemědělské úrody, její posklizňová úprava a skladování</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Za období sklizně zemědělské úrody (pícnin, obilovin, slámy a úsušků, chmele, kukuřice apod.), posklizňové úpravy a skladování se pro účely tohoto nařízení považuje období od zahájení hlavních přípravných prací spojených se sklizní do doby, než je uskladněný materiál považován za neaktivní (dokončení dosoušení, ustálené teploty uskladněných zrnin).</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Fyzické osoby, právnické osoby a podnikající fyzické osoby v zemědělství jsou v období před zahájením sklizně povinny: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prověřit technický stav strojů a zařízení, včetně kontroly vybavení přenosnými hasicími přístroji; pracovní stroje se spalovacími motory lze používat k manipulaci s hořlavým materiálem (stohy, sklady apod.) pouze jsou-li opatřeny funkčním lapačem jisker, nejedná-li se o stroje s trvale zabudovaným lapačem jisker nebo o stroje s přeplňovanými motory,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vybavit pracovní stroje samojízdné pro sklizeň obilí a pícnin jedním nebo několika hasicími přístroji s celkovou náplní nejméně 6 kg,</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ověřit, zda stroje a zařízení jsou používány v souladu s průvodní dokumentací stanovenou výrobcem a zajistit, aby osoby, které jsou pověřeny obsluhou těchto strojů a zařízení, byly prokazatelně seznámeny s předpisy upravujícími tuto činnost,</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provést kontrolu stavu objektů určených ke skladování nebo pro zpracovávání materiálu a odstranit zjištěné závady; při této kontrole se zaměřit zejména na zamezení zatékání dešťové vody do objektu, na stav elektroinstalace a hromosvodů, na vybavení přenosnými hasicími přístroji, označení příslušnými bezpečnostními tabulkami (např. zákaz kouření, zákaz vstupu s otevřeným ohněm apod.), na možnost zamezení vstupu nepovolaných osob (uzavření objektu, popř. jeho označení zákazem vstupu),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e) provést kontrolu provozuschopnosti všech zdrojů požární vody určených pro likvidaci požárů ve výše uvedených objektech (např. hydranty, požární nádrže), včetně jejich označení a přístupů k nim,</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f) provést kontrolu stavu příjezdových komunikací k objektům a vodním zdrojům,</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g) zabezpečit u zjištěných závad a nedostatků jejich odstranění nebo přijmout náhradní opatření.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(3) Právnické osoby a podnikající fyzické osoby v zemědělství jsou v období před zahájením sklizně dále povinny: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lastRenderedPageBreak/>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stanovit písemnou formou organizačně technická opatření k zajištění požární ochrany při sklizňových pracích,</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provést školení o požární ochraně osob podílejících se na sklizňových pracích a osob zajišťujících střežení objektů v přiměřeném rozsahu 5),</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provést preventivní požární prohlídky ve všech výrobních a skladovacích objektech,</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prověřit funkčnost ohlašoven požárů nebo míst pro ohlášení požárů v návaznosti na požární poplachové směrnice.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(4) Fyzické osoby, právnické osoby a podnikající fyzické osoby jsou v průběhu sklizně povinny: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zajistit, aby materiál byl skladován, případně zpracováván pouze v objektech k tomu určených6),</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zajistit dodržování zákazu kouření v průběhu sklizně na poli, při manipulaci a skladování materiálu,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zajistit při skupinovém nasazení žňové techniky (více než 3 sklízecí stroje), aby na poli byl k dispozici traktor s pluhem (obdobný pracovní stroj) použitelný k zamezení šíření případného požáru,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zajistit skladování a kontrolu skladovaného materiálu u pícnin a slámy podle zásad uvedených v příloze tohoto nařízení; u zrnin zajistit prokazatelné měření teplot uskladněného materiálu tak, aby provedená měření monitorovala dostatečným způsobem uskladněné zrniny; v případě pokračujícího nárůstu teplot nad hodnoty okolního prostředí přijmout účinná opatření včetně možnosti vyskladnění,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e) provádět veškeré požárně nebezpečné práce (svařování, řezání apod.) na zvláštní povolení7).</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(5) Fyzickým osobám, právnickým osobám a podnikajícím fyzickým osobám je zakázáno:</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spalovat plošně slámu na polích,</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rozdělávat oheň do vzdálenosti 100 m od stohů a dozrávajícího obilí.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4</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Provádění požárně nebezpečných činností v lesích a využívání přírodního prostředí k rekreačním účelům</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Za období zvýšeného nebezpečí vzniku požárů se pro lesy a využívání přírodního prostředí k rekreačním účelům považuje období nepříznivých klimatických podmínek.</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Během tohoto období je v souvislosti s činnostmi prováděnými při hospodaření v lese zakázáno rozdělávání ohňů a pálení klestu a kůry v lesních porostech, na lesních i nelesních pozemcích do vzdálenosti 50 m od lesa (dále jen „pálení“). To neplatí, jsou-li orgánem státní správy lesů nařízena v souladu se zvláštním zákonem jiná opatření8).</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(3) Za účelem zajištění preventivních opatření proti vzniku lesních požárů v souvislosti s činnostmi prováděnými při hospodaření v lese musí právnická osoba, podnikající fyzická osoba nebo fyzická osoba dodržovat při pálení vždy tato požárně bezpečnostní opatření: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oznámit před zahájením pálení den, dobu, místo pálení a jméno osoby odpovědné za pálení územně příslušnému operačnímu a informačnímu středisku Hasičského záchranného sboru Středočeského kraje,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zajistit, aby pálení prováděla nejméně dvoučlenná skupina s určením odpovědné osoby, která musí být starší osmnácti let; dvoučlenná skupina může provádět pálení maximálně na 3 ohništích současně,</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osoby provádějící pálení se musí seznámit s pracovním postupem pálení, se způsobem přivolání pomoci a zvláštnostmi pracoviště z hlediska požární ochrany a musí mít na pracovišti potřebné pracovní prostředky,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lastRenderedPageBreak/>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místo pro ohniště nesmí být umístěno v blízkosti suchých travin, na rašeliništích, na pařezech a jiných požárně nebezpečných místech, nesmí být blíže než ve vzdálenosti 20 metrů od jehličnatých porostů první věkové třídy (do 20 let),</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e) místo pro ohniště musí být v době bez sněhové pokrývky izolováno pruhem širokým nejméně 1 metr, kde se odstraní veškerý hořlavý materiál až do úrovně minerální půdy,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f) zahájit pálení je možné pouze v první polovině pracovní směny,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g) prostor, ve kterém je prováděno pálení, lze opustit až po úplném uhašení a řádném ochlazení ohniště; zuhelnatělé zbytky je nutno shrnout minimálně o půl metru od okraje ohniště směrem do jeho středu,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h) po provedeném pálení musí být jednotlivá ohniště po dobu 5 dnů nebo do doby vydatného deště alespoň jednou denně kontrolována; tato povinnost odpadá při pálení za sněhové pokrývky,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i) pálení je zakázáno zahajovat, případně musí byt ukončeno za silného větru9),</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j) udržovat sjízdné hlavní lesní komunikace k zajištění příjezdu požární techniky.</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(4) Pro rozdělávání ohňů v přírodním prostředí jsou stanovena následující opatření: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je zakázáno rozdělávat otevřený oheň v lese a do vzdálenosti 50 m od okraje lesa10) (výjimku na lesních pozemcích může povolit vlastník lesa),</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v rekreačních zařízeních, dětských táborech a veřejných tábořištích (dále jen „rekreační zařízení“) lze rozdělávat ohniště jen ve vyhrazeném prostoru; rozdělávání ohňů v těsné blízkosti stanů a obytných přívěsů je zakázáno,</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pro provozování ohniště v rekreačních zařízeních musí být určena osoba odpovědná za dozor a nesmí být provozováno za silného větru,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provozovatel rekreačních zařízení je povinen zajistit zpracování a realizaci organizačně technických opatření k zajištění požární ochrany; stanovená technická opatření musí zveřejnit způsobem v místě obvyklým tak, aby všichni uživatelé rekreačních zařízení měli možnost se s nimi seznámit; součástí organizačně technických opatření k zajištění požární ochrany v rekreačních zařízeních musí být zajištění průjezdnosti příjezdových cest; organizačně technická opatření musí zohledňovat místní úpravu požární ochrany - požární řád obce a další nařízení (např. povolovací řízení pro rozdělávání ohňů).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(5) Výše uvedená preventivní opatření je třeba zajišťovat v přiměřené míře i mimo vyhlášenou dobu zvýšeného nebezpečí vzniku požárů.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5</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Vznik mimořádných událostí</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Za mimořádné události se zvýšeným nebezpečím vzniku požárů se pro účely tohoto nařízení považují havárie produktovodů (zejména plynovodů, ropovodů a teplovodů) a dopravních prostředků přepravujících nebezpečné látky, hromadné dopravní nehody a bezprostřední nebezpečí úniku hořlavých, hoření podporujících nebo toxických plynů a látek.</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Pro mimořádné události jsou stanovena následující opatření: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součinnost složek Integrovaného záchranného systému Středočeského kraje (dále jen „IZS“) zabezpečuje operační a informační středisko IZS (operační a informační středisko Hasičského záchranného sboru Středočeského kraje),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složky IZS zabezpečují ochranu osob a majetku před následky mimořádné události,</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každý je povinen strpět omezení a provést nezbytná opatření v souvislosti s ochranou osob a majetku před následky mimořádné události.</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6</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lastRenderedPageBreak/>
        <w:t>Topné období</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Za topné období se pro účely tohoto nařízení považuje období od 15. září kalendářního roku do 31. května následujícího roku.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 xml:space="preserve">(2) Před zahájením topného období je každý provozovatel tepelných zdrojů s odtahem spalin do komínů povinen zabezpečit provedení kontroly a </w:t>
      </w:r>
      <w:proofErr w:type="spellStart"/>
      <w:r>
        <w:rPr>
          <w:rFonts w:ascii="Courier" w:hAnsi="Courier" w:cs="Courier"/>
          <w:color w:val="000000"/>
          <w:sz w:val="16"/>
          <w:szCs w:val="16"/>
        </w:rPr>
        <w:t>výmety</w:t>
      </w:r>
      <w:proofErr w:type="spellEnd"/>
      <w:r>
        <w:rPr>
          <w:rFonts w:ascii="Courier" w:hAnsi="Courier" w:cs="Courier"/>
          <w:color w:val="000000"/>
          <w:sz w:val="16"/>
          <w:szCs w:val="16"/>
        </w:rPr>
        <w:t xml:space="preserve"> komínových těles odborně způsobilou osobou a zajistit odstranění případných závad.</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(3) Pro topné období se stanoví následující preventivní opatření: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při provozu tepelných zdrojů, při skladování a doplňování kapalných a plynných paliv musí být dodrženy návody výrobců příslušných technologických zařízení včetně respektování stanovených bezpečnostních vzdáleností od hořlavých předmětů a materiálů,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v případě skladování pevných paliv se sklonem k samovznícení musí být palivo průběžně kontrolováno a při zjištění příznaků samovznícení provedena účinná opatření k zamezení vzniku a rozšíření požáru,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odpad vznikající při spalování tuhých paliv musí být ukládán na určená místa, a to do nehořlavých uzavíratelných a k tomuto účelu určených nádob; tyto nádoby nesmí obsahovat jiný hořlavý odpad nebo musí být zajištěno ukládání vychladlého popela.</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7</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Sankce</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Poruší-li právnická osoba nebo podnikající fyzická osoba povinnosti stanovené tímto nařízením, může jí být Středočeským krajem uložena pokuta podle § 11 zákona č. 129/2000 Sb., o krajích (krajské zřízení), ve znění pozdějších předpisů.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Poruší-li fyzická osoba povinnosti stanovené tímto nařízením, dopustí se přestupku podle § 46 odst. 1 zákona č. 200/1990 Sb., o přestupcích, ve znění pozdějších předpisů, a může jí být uložena pokuta podle § 46 odst. 3 tohoto zákona.</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Čl. 8</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8"/>
          <w:szCs w:val="18"/>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Závěrečná ustanovení</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Dodržováním povinností uložených tímto nařízením nejsou dotčeny povinnosti právnických osob a podnikajících fyzických osob vyplývající ze zákona o požární ochraně.</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Nařízení Středočeského kraje č. 3/2004 ze dne 21. dubna 2004, kterým se stanoví podmínky k zabezpečení požární ochrany v době zvýšeného nebezpečí vzniku požárů, včetně přílohy č. 1 se zrušuje.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(3) Toto nařízení bylo vydáno usnesením Rady Středočeského kraje č. 025-01/2010/RK ze dne 4.1.2010 a nabývá účinnosti patnáctým dnem následujícím po dni jeho vyhlášení ve Věstníku právních předpisů Středočeského kraje.</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MUDr. David Rath</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6"/>
          <w:szCs w:val="16"/>
        </w:rPr>
        <w:t>hejtman</w:t>
      </w:r>
    </w:p>
    <w:p w:rsidR="00F15AE6" w:rsidRDefault="00F15AE6" w:rsidP="00F15AE6">
      <w:pPr>
        <w:pStyle w:val="Normlnweb"/>
        <w:widowControl w:val="0"/>
        <w:adjustRightInd w:val="0"/>
        <w:spacing w:before="0" w:beforeAutospacing="0" w:after="0" w:afterAutospacing="0"/>
        <w:jc w:val="center"/>
      </w:pPr>
      <w:proofErr w:type="spellStart"/>
      <w:r>
        <w:rPr>
          <w:rFonts w:ascii="Courier" w:hAnsi="Courier" w:cs="Courier"/>
          <w:b/>
          <w:bCs/>
          <w:color w:val="000000"/>
          <w:sz w:val="16"/>
          <w:szCs w:val="16"/>
        </w:rPr>
        <w:t>v.z</w:t>
      </w:r>
      <w:proofErr w:type="spellEnd"/>
      <w:r>
        <w:rPr>
          <w:rFonts w:ascii="Courier" w:hAnsi="Courier" w:cs="Courier"/>
          <w:b/>
          <w:bCs/>
          <w:color w:val="000000"/>
          <w:sz w:val="16"/>
          <w:szCs w:val="16"/>
        </w:rPr>
        <w:t>. Ing. Marcel Hrabě v.r.</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6"/>
          <w:szCs w:val="16"/>
        </w:rPr>
        <w:t> </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6"/>
          <w:szCs w:val="16"/>
        </w:rPr>
        <w:t>náměstek hejtmana</w:t>
      </w:r>
    </w:p>
    <w:p w:rsidR="00F15AE6" w:rsidRDefault="00F15AE6" w:rsidP="00F15AE6">
      <w:pPr>
        <w:pStyle w:val="Normlnweb"/>
        <w:widowControl w:val="0"/>
        <w:adjustRightInd w:val="0"/>
        <w:spacing w:before="0" w:beforeAutospacing="0" w:after="0" w:afterAutospacing="0"/>
        <w:jc w:val="center"/>
      </w:pPr>
      <w:r>
        <w:rPr>
          <w:rFonts w:ascii="Courier" w:hAnsi="Courier" w:cs="Courier"/>
          <w:color w:val="000000"/>
          <w:sz w:val="16"/>
          <w:szCs w:val="16"/>
        </w:rPr>
        <w:t> </w:t>
      </w:r>
    </w:p>
    <w:p w:rsidR="00F15AE6" w:rsidRDefault="00F15AE6" w:rsidP="00F15AE6">
      <w:pPr>
        <w:pStyle w:val="Normlnweb"/>
        <w:widowControl w:val="0"/>
        <w:adjustRightInd w:val="0"/>
        <w:spacing w:before="0" w:beforeAutospacing="0" w:after="0" w:afterAutospacing="0"/>
        <w:jc w:val="center"/>
      </w:pPr>
      <w:proofErr w:type="spellStart"/>
      <w:r>
        <w:rPr>
          <w:rFonts w:ascii="Courier" w:hAnsi="Courier" w:cs="Courier"/>
          <w:b/>
          <w:bCs/>
          <w:color w:val="000000"/>
          <w:sz w:val="18"/>
          <w:szCs w:val="18"/>
        </w:rPr>
        <w:t>PřílohaPodmínky</w:t>
      </w:r>
      <w:proofErr w:type="spellEnd"/>
      <w:r>
        <w:rPr>
          <w:rFonts w:ascii="Courier" w:hAnsi="Courier" w:cs="Courier"/>
          <w:b/>
          <w:bCs/>
          <w:color w:val="000000"/>
          <w:sz w:val="18"/>
          <w:szCs w:val="18"/>
        </w:rPr>
        <w:t xml:space="preserve"> pro skladování pícnin a slámy</w:t>
      </w:r>
    </w:p>
    <w:p w:rsidR="00F15AE6" w:rsidRDefault="00F15AE6" w:rsidP="00F15AE6">
      <w:pPr>
        <w:pStyle w:val="Normlnweb"/>
        <w:widowControl w:val="0"/>
        <w:adjustRightInd w:val="0"/>
        <w:spacing w:before="0" w:beforeAutospacing="0" w:after="0" w:afterAutospacing="0"/>
        <w:jc w:val="center"/>
      </w:pPr>
      <w:r>
        <w:rPr>
          <w:rFonts w:ascii="Courier" w:hAnsi="Courier" w:cs="Courier"/>
          <w:b/>
          <w:bCs/>
          <w:color w:val="000000"/>
          <w:sz w:val="18"/>
          <w:szCs w:val="18"/>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(1) Skladování slámy nebo pícnin ve stozích/volných skládkách:</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za stoh se považuje volná skládka materiálu o objemu 50 a více m3; za jeden stoh se považuje i skupina volných skládek, jejichž celkový objem nesmí být větší než 4000 m3; na jejich umisťování platí zvláštní předpis*),</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b) volné sklady píce a slámy s objemem do 50 m3 (včetně balíků sena a slámy) lze umisťovat pouze ve vzdálenosti minimálně 10 m od hranic se sousedním pozemkem a od objektů; ve vzdálenosti menší než 10 m je možné volné sklady umístit pouze se souhlasem vlastníka pozemku nebo objektu nebo umožňuje-li to stavební provedení objektu**),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lastRenderedPageBreak/>
        <w:t>c) v případě založení stohu na strništi musí být po dokončení naskladňování provedeno jeho oborání o šíři nejméně 10 m,</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do vzdálenosti 12 m od stohů a volných skládek je zakázáno manipulovat s otevřeným ohněm a kouřit; tento zákaz musí být vyznačen příslušnými tabulkami.</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(2) Právnické osoby a podnikající fyzické osoby zajistí, aby při skladování píce byla dodržována technologie dosoušení a skladování včetně prokazatelného měření teploty v následujícím rozsahu: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 teplota píce se měří např. tepelnými čidly, hloubkovými teploměry nejméně v polovině výšky naskladněné píce,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b) teplota se měří nejméně na šesti místech jedné </w:t>
      </w:r>
      <w:proofErr w:type="spellStart"/>
      <w:r>
        <w:rPr>
          <w:rFonts w:ascii="Courier" w:hAnsi="Courier" w:cs="Courier"/>
          <w:color w:val="000000"/>
          <w:sz w:val="16"/>
          <w:szCs w:val="16"/>
        </w:rPr>
        <w:t>dosoušecí</w:t>
      </w:r>
      <w:proofErr w:type="spellEnd"/>
      <w:r>
        <w:rPr>
          <w:rFonts w:ascii="Courier" w:hAnsi="Courier" w:cs="Courier"/>
          <w:color w:val="000000"/>
          <w:sz w:val="16"/>
          <w:szCs w:val="16"/>
        </w:rPr>
        <w:t xml:space="preserve"> sekce seníku; za sekci se považuje část seníku o objemu do 2000 m3; v objektech s objemem menším než 2000 m3 se měření provádí úměrně velikosti seníku k jedné stanovené sekci,</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c) měření teplot se provádí 1x za 24 hodin po dobu 1 měsíce od naskladnění, dále 1x týdně ve 2. a 3. měsíci od naskladnění; měřící body je nutno průběžně měnit,</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d) provádí se fyzická kontrola (vizuální, pachová) v případě skladování slámy nebo je-li seno a sláma ukládána v balících ve skladu, a to v ranních hodinách v intervalech podle předchozího odstavce, přičemž se ověřuje, zda nedochází k zapaření uskladněného materiálu; dojde-li k zapaření, musí být místo zahřívání identifikováno a zajištěno provedení kontrolního měření teploměrem,</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e) měření teplot případně fyzická kontrola nemusí být prováděna, pokud bude prokázáno, že vlhkost píce (slámy) je nižší než 15%,</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f) měření teplot, fyzická kontrola, dále i průkazné doklady o vlhkosti naskladňovaného materiálu musí být prokazatelně zaznamenávány; za prokazatelné se považuje chronologicky vedený písemný záznam v knize měření s uvedením označení skladového objektu, data, času, všech naměřených hodnot a připojením podpisu osoby, která měření prováděla; za záznam se považuje i záznam z elektronického měřícího zařízení za předpokladu, že současně je zaznamenáváno i datum jednotlivých začátků naskladnění (datum, množství, sekce); záznam se uchovává nejméně jeden rok nebo do úplného vyskladnění materiálu,</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g) při naměření teploty nad 65 st. C je nutno učinit neodkladná opatření jako např. přeložení nebo vyskladnění přehřáté píce, u skladů s </w:t>
      </w:r>
      <w:proofErr w:type="spellStart"/>
      <w:r>
        <w:rPr>
          <w:rFonts w:ascii="Courier" w:hAnsi="Courier" w:cs="Courier"/>
          <w:color w:val="000000"/>
          <w:sz w:val="16"/>
          <w:szCs w:val="16"/>
        </w:rPr>
        <w:t>dosoušecím</w:t>
      </w:r>
      <w:proofErr w:type="spellEnd"/>
      <w:r>
        <w:rPr>
          <w:rFonts w:ascii="Courier" w:hAnsi="Courier" w:cs="Courier"/>
          <w:color w:val="000000"/>
          <w:sz w:val="16"/>
          <w:szCs w:val="16"/>
        </w:rPr>
        <w:t xml:space="preserve"> zařízením vypnutí ventilátorů; přeložení nebo vyskladnění se provádí za asistence jednotky požární ochrany a případ se neodkladně oznámí místně příslušnému operačnímu a informačnímu středisku Hasičského záchranného sboru Středočeského kraje,</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h) ochlazená a překontrolovaná píce se může vrátit zpět do skladu; o provedeném opatření se provede prokazatelný záznam do knihy měření.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6"/>
          <w:szCs w:val="16"/>
        </w:rPr>
        <w:tab/>
        <w:t>_______________</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ab/>
        <w:t>*) Příloha č. 1 vyhlášky č. 246/2001 Sb., o stanovení podmínek požární bezpečnosti a výkonu státního požárního dozoru (vyhláška o požární prevenci).</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ab/>
        <w:t>**) ČSN 73 0802, ČSN 73 0804.</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w:t>
      </w:r>
    </w:p>
    <w:p w:rsidR="00F15AE6" w:rsidRDefault="00F15AE6" w:rsidP="00F15AE6">
      <w:pPr>
        <w:pStyle w:val="Normlnweb"/>
        <w:widowControl w:val="0"/>
        <w:adjustRightInd w:val="0"/>
        <w:spacing w:before="0" w:beforeAutospacing="0" w:after="0" w:afterAutospacing="0"/>
      </w:pPr>
      <w:r>
        <w:rPr>
          <w:rFonts w:ascii="Courier" w:hAnsi="Courier" w:cs="Courier"/>
          <w:color w:val="000000"/>
          <w:sz w:val="16"/>
          <w:szCs w:val="16"/>
        </w:rPr>
        <w:t>____________________</w:t>
      </w:r>
    </w:p>
    <w:p w:rsidR="00F15AE6" w:rsidRDefault="00F15AE6" w:rsidP="00F15AE6">
      <w:pPr>
        <w:pStyle w:val="Normlnweb"/>
        <w:widowControl w:val="0"/>
        <w:adjustRightInd w:val="0"/>
        <w:spacing w:before="0" w:beforeAutospacing="0" w:after="0" w:afterAutospacing="0"/>
      </w:pPr>
      <w:r>
        <w:rPr>
          <w:rFonts w:ascii="Courier" w:hAnsi="Courier" w:cs="Courier"/>
          <w:color w:val="000000"/>
          <w:sz w:val="16"/>
          <w:szCs w:val="16"/>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1) § 20 a § 32 odst. 1 písm. c) zákona č. 289/1995 Sb., o lesích a o změně a doplnění některých zákonů (lesní zákon), ve znění pozdějších předpisů.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2) Období déletrvajícího sucha je stanoveno na základě pozorování Českého hydrometeorologického ústavu. Je jím zejména období, kdy množství srážek klesne pod 25 % dlouhodobého normálu a zároveň jsou vysoké denní teploty a sluneční svit a pokud od posledních vydatných srážek uplynulo alespoň 20 dní.</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3) § 20 odst. 1 písm. k) lesního zákona.</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4) § 19 odst. 3 lesního zákona.</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5) § 16 zákona č. 133/1985 Sb., o požární ochraně, ve znění pozdějších předpisů.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6) Zákon č. 183/2006 Sb., o územním plánování a stavebním řádu (stavební zákon), ve znění pozdějších předpisů.</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lastRenderedPageBreak/>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7) Například vyhláška č. 87/2000 Sb., kterou se stanoví podmínky požární bezpečnosti při svařování a nahřívání živic v tavných nádobách.</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8) § 32 odst. 2 lesního zákona.</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 xml:space="preserve"> </w:t>
      </w:r>
    </w:p>
    <w:p w:rsidR="00F15AE6" w:rsidRDefault="00F15AE6" w:rsidP="00F15AE6">
      <w:pPr>
        <w:pStyle w:val="Normlnweb"/>
        <w:widowControl w:val="0"/>
        <w:adjustRightInd w:val="0"/>
        <w:spacing w:before="0" w:beforeAutospacing="0" w:after="0" w:afterAutospacing="0"/>
        <w:jc w:val="both"/>
      </w:pPr>
      <w:r>
        <w:rPr>
          <w:rFonts w:ascii="Courier" w:hAnsi="Courier" w:cs="Courier"/>
          <w:color w:val="000000"/>
          <w:sz w:val="14"/>
          <w:szCs w:val="14"/>
        </w:rPr>
        <w:t>9) V případě, že rychlost větru je vyšší než 5,2 m.s-1; tento vítr se vyznačuje tím, že šumí listí stromů, listy a větvičky se trvale pohybují, na vodě se dělají vlnky apod.</w:t>
      </w:r>
    </w:p>
    <w:p w:rsidR="002E787D" w:rsidRDefault="002E787D">
      <w:bookmarkStart w:id="0" w:name="_GoBack"/>
      <w:bookmarkEnd w:id="0"/>
    </w:p>
    <w:sectPr w:rsidR="002E78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5AE6"/>
    <w:rsid w:val="002E787D"/>
    <w:rsid w:val="00F15AE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15AE6"/>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Normlnweb">
    <w:name w:val="Normal (Web)"/>
    <w:basedOn w:val="Normln"/>
    <w:uiPriority w:val="99"/>
    <w:semiHidden/>
    <w:unhideWhenUsed/>
    <w:rsid w:val="00F15AE6"/>
    <w:pPr>
      <w:spacing w:before="100" w:beforeAutospacing="1" w:after="100" w:afterAutospacing="1" w:line="240" w:lineRule="auto"/>
    </w:pPr>
    <w:rPr>
      <w:rFonts w:ascii="Times New Roman" w:eastAsia="Times New Roman" w:hAnsi="Times New Roman" w:cs="Times New Roman"/>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71175">
      <w:bodyDiv w:val="1"/>
      <w:marLeft w:val="0"/>
      <w:marRight w:val="0"/>
      <w:marTop w:val="0"/>
      <w:marBottom w:val="0"/>
      <w:divBdr>
        <w:top w:val="none" w:sz="0" w:space="0" w:color="auto"/>
        <w:left w:val="none" w:sz="0" w:space="0" w:color="auto"/>
        <w:bottom w:val="none" w:sz="0" w:space="0" w:color="auto"/>
        <w:right w:val="none" w:sz="0" w:space="0" w:color="auto"/>
      </w:divBdr>
      <w:divsChild>
        <w:div w:id="589234753">
          <w:marLeft w:val="0"/>
          <w:marRight w:val="0"/>
          <w:marTop w:val="0"/>
          <w:marBottom w:val="0"/>
          <w:divBdr>
            <w:top w:val="none" w:sz="0" w:space="0" w:color="auto"/>
            <w:left w:val="none" w:sz="0" w:space="0" w:color="auto"/>
            <w:bottom w:val="none" w:sz="0" w:space="0" w:color="auto"/>
            <w:right w:val="none" w:sz="0" w:space="0" w:color="auto"/>
          </w:divBdr>
          <w:divsChild>
            <w:div w:id="1447313387">
              <w:marLeft w:val="0"/>
              <w:marRight w:val="0"/>
              <w:marTop w:val="0"/>
              <w:marBottom w:val="0"/>
              <w:divBdr>
                <w:top w:val="none" w:sz="0" w:space="0" w:color="auto"/>
                <w:left w:val="none" w:sz="0" w:space="0" w:color="auto"/>
                <w:bottom w:val="none" w:sz="0" w:space="0" w:color="auto"/>
                <w:right w:val="none" w:sz="0" w:space="0" w:color="auto"/>
              </w:divBdr>
              <w:divsChild>
                <w:div w:id="1726641896">
                  <w:marLeft w:val="0"/>
                  <w:marRight w:val="0"/>
                  <w:marTop w:val="0"/>
                  <w:marBottom w:val="0"/>
                  <w:divBdr>
                    <w:top w:val="none" w:sz="0" w:space="0" w:color="auto"/>
                    <w:left w:val="none" w:sz="0" w:space="0" w:color="auto"/>
                    <w:bottom w:val="none" w:sz="0" w:space="0" w:color="auto"/>
                    <w:right w:val="none" w:sz="0" w:space="0" w:color="auto"/>
                  </w:divBdr>
                  <w:divsChild>
                    <w:div w:id="4870749">
                      <w:marLeft w:val="0"/>
                      <w:marRight w:val="0"/>
                      <w:marTop w:val="0"/>
                      <w:marBottom w:val="0"/>
                      <w:divBdr>
                        <w:top w:val="none" w:sz="0" w:space="0" w:color="auto"/>
                        <w:left w:val="none" w:sz="0" w:space="0" w:color="auto"/>
                        <w:bottom w:val="none" w:sz="0" w:space="0" w:color="auto"/>
                        <w:right w:val="none" w:sz="0" w:space="0" w:color="auto"/>
                      </w:divBdr>
                      <w:divsChild>
                        <w:div w:id="209619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2843</Words>
  <Characters>16774</Characters>
  <Application>Microsoft Office Word</Application>
  <DocSecurity>0</DocSecurity>
  <Lines>139</Lines>
  <Paragraphs>39</Paragraphs>
  <ScaleCrop>false</ScaleCrop>
  <HeadingPairs>
    <vt:vector size="2" baseType="variant">
      <vt:variant>
        <vt:lpstr>Název</vt:lpstr>
      </vt:variant>
      <vt:variant>
        <vt:i4>1</vt:i4>
      </vt:variant>
    </vt:vector>
  </HeadingPairs>
  <TitlesOfParts>
    <vt:vector size="1" baseType="lpstr">
      <vt:lpstr/>
    </vt:vector>
  </TitlesOfParts>
  <Company>Město Dobříš</Company>
  <LinksUpToDate>false</LinksUpToDate>
  <CharactersWithSpaces>19578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Jankovský Václav Bc</dc:creator>
  <cp:lastModifiedBy>Jankovský Václav Bc</cp:lastModifiedBy>
  <cp:revision>1</cp:revision>
  <dcterms:created xsi:type="dcterms:W3CDTF">2015-07-24T06:04:00Z</dcterms:created>
  <dcterms:modified xsi:type="dcterms:W3CDTF">2015-07-24T06:05:00Z</dcterms:modified>
</cp:coreProperties>
</file>